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2"/>
      </w:tblGrid>
      <w:tr w:rsidR="003928A2" w:rsidRPr="003928A2" w:rsidTr="003928A2">
        <w:tc>
          <w:tcPr>
            <w:tcW w:w="99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28A2" w:rsidRPr="003928A2" w:rsidRDefault="003928A2" w:rsidP="003928A2">
            <w:pPr>
              <w:spacing w:before="240" w:after="240" w:line="240" w:lineRule="auto"/>
              <w:textAlignment w:val="top"/>
              <w:outlineLvl w:val="0"/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  <w:t>ПРОГРАММА профилактики рисков причинения вреда (ущерба) охраняемым законом ценностям по федеральному государственному санитарно-эпидемиологическому контролю (надзору) на 2022 год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Программа профилактики рисков причинения вреда (ущерба) охраняемым законом ценностям по федеральному государственному санитарно-эпидемиологическому контролю (надзору) (далее – Программа профилактики) разработана  в   соответствии со ст. 44  Федерального  закона  от 31.07.2020 № 248-ФЗ «О государственном контроле (надзоре) и муниципальном контроле в Российской Федерации» и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990.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Программа профилактики определяет виды профилактических мероприятий, предусмотренные Положением о федеральном государственном санитарно-эпидемиологическом контроле (надзоре), утвержденным постановлением Правительства Российской Федерации от 30.06.2021 № 1100, направленные на предупреждение нарушений санитарно-эпидемиологических требований, обязательных требований в области качества и безопасности пищевой продукции, требований, установленных техническими регламентами, Едиными санитарно-эпидемиологическими и гигиеническими требованиями к продукции (товарам), подлежащей санитарно-эпидемиологическому надзору (контролю).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 </w:t>
            </w:r>
          </w:p>
          <w:p w:rsidR="003928A2" w:rsidRPr="003928A2" w:rsidRDefault="003928A2" w:rsidP="003928A2">
            <w:pPr>
              <w:numPr>
                <w:ilvl w:val="0"/>
                <w:numId w:val="1"/>
              </w:numPr>
              <w:spacing w:after="0" w:line="240" w:lineRule="auto"/>
              <w:ind w:left="1155" w:right="390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b/>
                <w:bCs/>
                <w:color w:val="4F4F4F"/>
                <w:sz w:val="21"/>
                <w:szCs w:val="21"/>
                <w:lang w:eastAsia="ru-RU"/>
              </w:rPr>
              <w:t xml:space="preserve">Анализ текущего состояния осуществления федерального государственного санитарно-эпидемиологического контроля (надзора), описание текущего развития профилактической деятельности </w:t>
            </w:r>
            <w:proofErr w:type="spellStart"/>
            <w:r w:rsidRPr="003928A2">
              <w:rPr>
                <w:rFonts w:ascii="Verdana" w:eastAsia="Times New Roman" w:hAnsi="Verdana" w:cs="Times New Roman"/>
                <w:b/>
                <w:bCs/>
                <w:color w:val="4F4F4F"/>
                <w:sz w:val="21"/>
                <w:szCs w:val="21"/>
                <w:lang w:eastAsia="ru-RU"/>
              </w:rPr>
              <w:t>Роспотребнадзора</w:t>
            </w:r>
            <w:proofErr w:type="spellEnd"/>
            <w:r w:rsidRPr="003928A2">
              <w:rPr>
                <w:rFonts w:ascii="Verdana" w:eastAsia="Times New Roman" w:hAnsi="Verdana" w:cs="Times New Roman"/>
                <w:b/>
                <w:bCs/>
                <w:color w:val="4F4F4F"/>
                <w:sz w:val="21"/>
                <w:szCs w:val="21"/>
                <w:lang w:eastAsia="ru-RU"/>
              </w:rPr>
              <w:t>, характеристика проблем, на решение которых направлена программа профилактики</w:t>
            </w:r>
          </w:p>
          <w:p w:rsidR="003928A2" w:rsidRPr="003928A2" w:rsidRDefault="003928A2" w:rsidP="003928A2">
            <w:pPr>
              <w:spacing w:after="240" w:line="240" w:lineRule="auto"/>
              <w:jc w:val="center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 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Предметом федерального государственного санитарно-эпидемиологического контроля (надзора) являются: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а) соблюдение санитарно-эпидемиологических требований;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б) соблюдение обязательных требований в области качества и безопасности пищевой продукции, установленных в соответствии с Федеральным законом «О качестве и безопасности пищевых продуктов» и принимаемыми в соответствии с ним нормативными правовыми актами;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в) соблюдение иных обязательных требований в области санитарно-эпидемиологического благополучия населения, установленных Федеральным законом «О санитарно-эпидемиологическом благополучии населения», иными федеральными законами и принятыми в соответствии с ними нормативными правовыми актами Российской Федерации, актами, составляющими право Евразийского экономического союза;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lastRenderedPageBreak/>
              <w:t>г) соблюдение (реализация) требований, содержащихся в разрешительных документах в области санитарно-эпидемиологического благополучия населения;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д) исполнение решений, принимаемых по результатам контрольных (надзорных) мероприятий;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е) выполнение санитарно-противоэпидемических (профилактических) мероприятий;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ж) соблюдение изготовителем, исполнителем (лицом, выполняющим функции иностранного изготовителя), продавцом требований, установленных техническими регламентами, Едиными санитарно-эпидемиологическими и гигиеническими требованиями к продукции (товарам), подлежащей санитарно-эпидемиологическому надзору (контролю), утвержденными решением Комиссии Таможенного союза от 28.05.2010 № 299 «О применении санитарных мер в Евразийском экономическом союзе», или обязательных требований, подлежащих применению до вступления в силу технических регламентов в соответствии с Федеральным законом «О техническом регулировании».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proofErr w:type="spellStart"/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Роспотребнадзор</w:t>
            </w:r>
            <w:proofErr w:type="spellEnd"/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и его территориальные органы осуществляют федеральный государственный санитарно-эпидемиологический контроль (надзор) за следующими объектами государственного контроля (надзора) (далее - объекты контроля):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а)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б) результаты деятельности контролируемых лиц, в том числе продукция (товары), подлежащая государственному контролю (надзору) на таможенной границе и таможенной территории Евразийского экономического союза по Единому перечню продукции (товаров), подлежащей государственному санитарно-эпидемиологическому надзору (контролю), утвержденному решением Комиссии Таможенного союза от 28.05.2010 № 299 «О применении санитарных мер в Евразийском экономическом союзе», к которой предъявляются обязательные требования;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 и другие объекты, которыми контролируемые лица владеют и (или) пользуются и к которым предъявляются обязательные требования (далее - производственные объекты).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Общее количество юридических лиц, индивидуальных предпринимателей, осуществляющих деятельность на территории Российской Федерации, деятельность которых подлежит государственному контролю (надзору), составляет в 1 полугодии 2021 г. – 929027.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Федеральный государственный санитарно-эпидемиологический контроль (надзор) осуществляется с риск-ориентированным подходом. В I</w:t>
            </w:r>
            <w:r w:rsidR="006B65E8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</w:t>
            </w:r>
            <w:bookmarkStart w:id="0" w:name="_GoBack"/>
            <w:bookmarkEnd w:id="0"/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полугодии 2021 г. территориальными органами </w:t>
            </w:r>
            <w:proofErr w:type="spellStart"/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Роспотребнадзора</w:t>
            </w:r>
            <w:proofErr w:type="spellEnd"/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проведено 81 784 проверки, из них плановых - 27 688 проверок.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Внеплановые проверки проводились по основаниям: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 - по контролю за исполнением предписаний, выданных по результатам проведенных ранее проверок,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lastRenderedPageBreak/>
              <w:t>- по заявлениям (обращениям) физических и юридических лиц, по информации органов государственной власти, местного самоуправления, средств массовой информации, в том числе: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- о возникновении угрозы причинения вреда жизни, здоровью граждан, вреда животным, растениям, окружающей среде;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- о причинении вреда жизни, здоровью граждан, вреда животным, растениям, окружающей среде;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- на основании приказов (распоряжений) руководителя органа государственного контроля (надзора), изданных в соответствии с поручениями Президента Российской Федерации, Правительства Российской Федерации;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- на основании приказов (распоряжений) руководителя органа государственного контроля (надзора), изданного в соответствии с требованиями органов прокуратуры.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Доля плановых проверок, по итогам которых выявлены правонарушения, от общего числа плановых проверок составила - 95,8 %.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По выявленным нарушениям: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- вынесены представления об устранении причин и условий, способствовавших совершению административного правонарушения,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- составлены протоколы об административном правонарушении и др.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Выдано 17084 предостережения о недопустимости нарушения обязательных требований.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Федеральный государственный санитарно-эпидемиологический контроль (надзор) осуществляется на основе управления рисками причинения вреда (ущерба) жизни и здоровью граждан. Сформирован федеральный реестр юридических лиц и индивидуальных предпринимателей, а также используемых ими производственных объектов, подлежащих контролю (надзору) (реестр объектов контроля). Проведено полное распределение объектов контроля, подлежащих федеральному государственному санитарно-эпидемиологическому контролю (надзору), по категориям риска.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Сформирована система сбора объективных данных, позволяющая с использованием ведомственной информационной системы собирать данные и отслеживать их изменение, учитывать при определении категории риска причиненный вред и характеристики индивидуального поведения контролируемых лиц. Категории риска по федеральному государственному санитарно-эпидемиологическому контролю (надзору) определяются с учетом индивидуального поведения контролируемых лиц («динамическая модель»).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Актуализированы перечни объектов контроля, которым присвоены категории риска. </w:t>
            </w:r>
            <w:proofErr w:type="spellStart"/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Роспотребнадзором</w:t>
            </w:r>
            <w:proofErr w:type="spellEnd"/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обеспечена доступность информации об объектах контроля. На официальном сайте </w:t>
            </w:r>
            <w:proofErr w:type="spellStart"/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Роспотребнадзора</w:t>
            </w:r>
            <w:proofErr w:type="spellEnd"/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, сайтах территориальных органов </w:t>
            </w:r>
            <w:proofErr w:type="spellStart"/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Роспотребнадзора</w:t>
            </w:r>
            <w:proofErr w:type="spellEnd"/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размещена информация об объектах контроля, предусмотренная пунктами 29 и 30 Положения о федеральном государственном санитарно-эпидемиологическом контроле (надзоре), утвержденного постановлением Правительства Российской Федерации от 30.06.2021 № 1100 (http://risk.rospotrebnadzor.ru/).</w:t>
            </w:r>
          </w:p>
          <w:p w:rsidR="003928A2" w:rsidRPr="003928A2" w:rsidRDefault="003928A2" w:rsidP="003928A2">
            <w:pPr>
              <w:spacing w:after="240" w:line="240" w:lineRule="auto"/>
              <w:jc w:val="center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 </w:t>
            </w:r>
          </w:p>
          <w:p w:rsidR="003928A2" w:rsidRPr="003928A2" w:rsidRDefault="003928A2" w:rsidP="003928A2">
            <w:pPr>
              <w:spacing w:after="240" w:line="240" w:lineRule="auto"/>
              <w:jc w:val="center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b/>
                <w:bCs/>
                <w:color w:val="4F4F4F"/>
                <w:sz w:val="21"/>
                <w:szCs w:val="21"/>
                <w:lang w:eastAsia="ru-RU"/>
              </w:rPr>
              <w:t>II. Цели и задачи реализации программы профилактики</w:t>
            </w:r>
          </w:p>
          <w:p w:rsidR="003928A2" w:rsidRPr="003928A2" w:rsidRDefault="003928A2" w:rsidP="003928A2">
            <w:pPr>
              <w:spacing w:after="240" w:line="240" w:lineRule="auto"/>
              <w:jc w:val="center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lastRenderedPageBreak/>
              <w:t> 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b/>
                <w:bCs/>
                <w:color w:val="4F4F4F"/>
                <w:sz w:val="21"/>
                <w:szCs w:val="21"/>
                <w:lang w:eastAsia="ru-RU"/>
              </w:rPr>
              <w:t>Программа направлена на достижение следующих целей: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предупреждение нарушений контролируемыми лицами обязательных требований, установленных законодательством Российской федерации в сфере санитарно-эпидемиологического благополучия населения, обеспечения качества и безопасности пищевых продуктов;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повышение информированности контролируемых лиц об обязательных требованиях и способах их соблюдения;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жизни и здоровью человека.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 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b/>
                <w:bCs/>
                <w:color w:val="4F4F4F"/>
                <w:sz w:val="21"/>
                <w:szCs w:val="21"/>
                <w:lang w:eastAsia="ru-RU"/>
              </w:rPr>
              <w:t>Поставленные цели достигаются путем решения следующих задач: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формирования единого подхода к организации и проведению профилактических мероприятий в территориальных органах </w:t>
            </w:r>
            <w:proofErr w:type="spellStart"/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Роспотребнадзора</w:t>
            </w:r>
            <w:proofErr w:type="spellEnd"/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формирования единого понимания обязательных требований у всех контролируемых лиц;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выявления причин, факторов и условий, способствующих нарушениям обязательных требований, разработки мероприятий, направленных на их устранение или снижения рисков их возникновения.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Мероприятия по профилактике нарушений обязательных требований организуются и осуществляются </w:t>
            </w:r>
            <w:proofErr w:type="spellStart"/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Роспотребнадзором</w:t>
            </w:r>
            <w:proofErr w:type="spellEnd"/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и его территориальными органами на основе следующих принципов: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понятность - представление информации об обязательных требованиях в простой, понятной и исчерпывающей форме (описание, пояснение, приведение примеров самих обязательных требований, указание нормативных правовых актов, их содержащих, и административных последствий за нарушение обязательных требований);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информационная открытость - доступность для контролируемых лиц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вовлеченность - обеспечение включения контролируемых лиц посредством различных каналов и инструментов обратной связи в процесс взаимодействия с </w:t>
            </w:r>
            <w:proofErr w:type="spellStart"/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Роспотребнадзором</w:t>
            </w:r>
            <w:proofErr w:type="spellEnd"/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и его территориальными органами по поводу предмета профилактических мероприятий, их качества и результативности;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полнота охвата - включения максимального числа контролируемых лиц в процесс взаимодействия с </w:t>
            </w:r>
            <w:proofErr w:type="spellStart"/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Роспотребнадзором</w:t>
            </w:r>
            <w:proofErr w:type="spellEnd"/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и его территориальными органами;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обязательность - обязательное проведение профилактических мероприятий </w:t>
            </w:r>
            <w:proofErr w:type="spellStart"/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Роспотребнадзором</w:t>
            </w:r>
            <w:proofErr w:type="spellEnd"/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и его территориальными органами по видам контроля (надзора);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lastRenderedPageBreak/>
              <w:t>актуальность - регулярный анализ и обновление Программы профилактики, использование актуальной информации при проведении профилактических мероприятий;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релевантность и рациональность - выбор набора видов и форм профилактических мероприятий, учитывающих особенности и состояние контролируемых лиц;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периодичность - обеспечение регулярности проведения профилактических мероприятий.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 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 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 </w:t>
            </w:r>
          </w:p>
          <w:p w:rsidR="003928A2" w:rsidRPr="003928A2" w:rsidRDefault="003928A2" w:rsidP="003928A2">
            <w:pPr>
              <w:spacing w:after="240" w:line="240" w:lineRule="auto"/>
              <w:jc w:val="center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b/>
                <w:bCs/>
                <w:color w:val="4F4F4F"/>
                <w:sz w:val="21"/>
                <w:szCs w:val="21"/>
                <w:lang w:eastAsia="ru-RU"/>
              </w:rPr>
              <w:t>III. Перечень профилактических мероприятий*</w:t>
            </w:r>
          </w:p>
          <w:p w:rsidR="003928A2" w:rsidRPr="003928A2" w:rsidRDefault="003928A2" w:rsidP="003928A2">
            <w:pPr>
              <w:spacing w:after="240" w:line="240" w:lineRule="auto"/>
              <w:jc w:val="center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 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В соответствии с Положением о федеральном государственном санитарно-эпидемиологическом контроле (надзоре), утвержденным постановлением Правительства Российской Федерации от 30.06.2021 № 1100, проводятся следующие профилактические мероприятия: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а) информирование;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б) обобщение правоприменительной практики;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в) объявление предостережения;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г) консультирование;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д) профилактический визит.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 </w:t>
            </w:r>
          </w:p>
          <w:p w:rsidR="003928A2" w:rsidRPr="003928A2" w:rsidRDefault="003928A2" w:rsidP="003928A2">
            <w:pPr>
              <w:spacing w:after="240" w:line="240" w:lineRule="auto"/>
              <w:jc w:val="center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b/>
                <w:bCs/>
                <w:color w:val="4F4F4F"/>
                <w:sz w:val="21"/>
                <w:szCs w:val="21"/>
                <w:lang w:eastAsia="ru-RU"/>
              </w:rPr>
              <w:t>IV. Показатели эффективности и результативности мероприятий</w:t>
            </w:r>
          </w:p>
          <w:p w:rsidR="003928A2" w:rsidRPr="003928A2" w:rsidRDefault="003928A2" w:rsidP="003928A2">
            <w:pPr>
              <w:spacing w:after="240" w:line="240" w:lineRule="auto"/>
              <w:jc w:val="center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b/>
                <w:bCs/>
                <w:color w:val="4F4F4F"/>
                <w:sz w:val="21"/>
                <w:szCs w:val="21"/>
                <w:lang w:eastAsia="ru-RU"/>
              </w:rPr>
              <w:t>Программы профилактики</w:t>
            </w:r>
          </w:p>
          <w:p w:rsidR="003928A2" w:rsidRPr="003928A2" w:rsidRDefault="003928A2" w:rsidP="003928A2">
            <w:pPr>
              <w:spacing w:after="240" w:line="240" w:lineRule="auto"/>
              <w:jc w:val="center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 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Показателями эффективности и результативности мероприятий Программы профилактики являются: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количество проведенных профилактических мероприятий;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количество подконтрольных субъектов, в отношении которых проведены профилактические мероприятия;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доля контролируемых лиц/объектов контроля, в отношении которых проведены профилактические мероприятия от их общего количества, %;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доля проведенных профилактических мероприятий в общем количестве проведенных контрольных (надзорных) мероприятий в отчетном периоде, %;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lastRenderedPageBreak/>
              <w:t>доля повторных административных правонарушений от общего количества правонарушений, %;</w:t>
            </w:r>
          </w:p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удельный вес отказов контролируемых лиц от проведения обязательного профилактического визита от общего количества запланированных профилактических визитов, %.</w:t>
            </w:r>
          </w:p>
          <w:p w:rsidR="003928A2" w:rsidRPr="003928A2" w:rsidRDefault="003928A2" w:rsidP="003928A2">
            <w:pPr>
              <w:spacing w:after="240" w:line="240" w:lineRule="auto"/>
              <w:jc w:val="center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 w:type="textWrapping" w:clear="all"/>
            </w:r>
            <w:r w:rsidRPr="003928A2">
              <w:rPr>
                <w:rFonts w:ascii="Verdana" w:eastAsia="Times New Roman" w:hAnsi="Verdana" w:cs="Times New Roman"/>
                <w:b/>
                <w:bCs/>
                <w:color w:val="4F4F4F"/>
                <w:sz w:val="21"/>
                <w:szCs w:val="21"/>
                <w:lang w:eastAsia="ru-RU"/>
              </w:rPr>
              <w:t>III.* Перечень и сроки (периодичность) проведения профилактических мероприятий</w:t>
            </w:r>
          </w:p>
          <w:p w:rsidR="003928A2" w:rsidRPr="003928A2" w:rsidRDefault="003928A2" w:rsidP="003928A2">
            <w:pPr>
              <w:spacing w:after="240" w:line="240" w:lineRule="auto"/>
              <w:jc w:val="center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 </w:t>
            </w:r>
          </w:p>
          <w:tbl>
            <w:tblPr>
              <w:tblW w:w="1015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"/>
              <w:gridCol w:w="2170"/>
              <w:gridCol w:w="2846"/>
              <w:gridCol w:w="2022"/>
              <w:gridCol w:w="2121"/>
            </w:tblGrid>
            <w:tr w:rsidR="003928A2" w:rsidRPr="003928A2" w:rsidTr="003928A2">
              <w:trPr>
                <w:trHeight w:val="585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Форма проведения мероприятия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(периодичность)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проведения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Ответственный исполнитель</w:t>
                  </w:r>
                </w:p>
              </w:tc>
            </w:tr>
            <w:tr w:rsidR="003928A2" w:rsidRPr="003928A2" w:rsidTr="003928A2">
              <w:tc>
                <w:tcPr>
                  <w:tcW w:w="6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480" w:righ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контролируемых лиц и иных заинтересованных лиц по вопросам соблюдения обязательных требований</w:t>
                  </w: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480" w:righ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Размещение на официальном сайте </w:t>
                  </w:r>
                  <w:proofErr w:type="spell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его территориальных органов текстов нормативных правовых актов и сведений об изменениях, внесенных в нормативные правовые акты, регулирующих осуществление федерального государственного санитарно-эпидемиологического контроля (надзора)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позднее даты вступления в силу НПА, содержащего обязательные требования, и (или) в соответствии с которым вносятся изменения в действующие НПА, содержащие обязательные требования, либо признается утратившим силу НПА, содержащий обязательные требования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Управление организации контрольно-надзорной деятельности и оказания государственных услуг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Управление санитарного надзора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Управление эпидемиологического надзора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Правовое управление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Территориальные органы </w:t>
                  </w:r>
                  <w:proofErr w:type="spell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</w:p>
              </w:tc>
            </w:tr>
            <w:tr w:rsidR="003928A2" w:rsidRPr="003928A2" w:rsidTr="003928A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480" w:righ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Размещение на официальном сайте </w:t>
                  </w:r>
                  <w:proofErr w:type="spell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его территориальных органов и поддержание в актуальном состоянии перечня НПА с указанием структурных единиц этих актов, </w:t>
                  </w: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содержащих обязательные требования, оценка соблюдения которых является предметом федерального государственного санитарно-эпидемиологического контроля (надзора), с текстами в действующей редакции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 10-дневный срок со дня утверждения перечня или его актуализации.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Актуализация перечня проводится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не позднее даты вступления в силу </w:t>
                  </w: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НПА, содержащего обязательные требования, и (или) в соответствии с которым вносятся изменения в действующие НПА, содержащие обязательные требования, либо признается утратившим силу НПА, содержащий обязательные требования, изменения иных сведений, подлежащих размещению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Управление организации контрольно-надзорной деятельности и оказания государственных услуг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Управление санитарного надзора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Управление эпидемиологического надзора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Правовое управление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Территориальные органы </w:t>
                  </w:r>
                  <w:proofErr w:type="spell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</w:p>
              </w:tc>
            </w:tr>
            <w:tr w:rsidR="003928A2" w:rsidRPr="003928A2" w:rsidTr="003928A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480" w:righ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руководств по соблюдению действующих обязательных требований, оценка соблюдения которых является предметом федерального государственного санитарно-эпидемиологического контроля (надзора)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квартал 2022 г., а также при необходимости после принятия решения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Управление санитарного надзора (по компетенции)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Управление эпидемиологического надзора (по компетенции)</w:t>
                  </w:r>
                </w:p>
              </w:tc>
            </w:tr>
            <w:tr w:rsidR="003928A2" w:rsidRPr="003928A2" w:rsidTr="003928A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480" w:righ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доклада, содержащего результаты обобщения правоприменительной практики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1 июня 2022 г.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28A2" w:rsidRPr="003928A2" w:rsidTr="003928A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480" w:righ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Подготовка разъяснений о содержании новых нормативно-правовых актов, устанавливающих обязательные требования, внесенных изменениях в </w:t>
                  </w: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действующие акты, сроках и порядке вступления их в действие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 мере издания новых нормативных правовых актов или внесения изменений в действующие НПА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Управления центрального аппарата </w:t>
                  </w:r>
                  <w:proofErr w:type="spell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(по компетенции)</w:t>
                  </w:r>
                </w:p>
              </w:tc>
            </w:tr>
            <w:tr w:rsidR="003928A2" w:rsidRPr="003928A2" w:rsidTr="003928A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80" w:righ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официальных сайтах информации о способах и времени осуществления консультирования, а также перечень вопросов, по которым предоставляется консультирование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1 апреля 2022 г.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Территориальные органы </w:t>
                  </w:r>
                  <w:proofErr w:type="spell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</w:p>
              </w:tc>
            </w:tr>
            <w:tr w:rsidR="003928A2" w:rsidRPr="003928A2" w:rsidTr="003928A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80" w:righ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Консультирование по однотипным обращениям контролируемых лиц и их представителей, которые содержат вопросы разъяснения обязательных требований, проводится посредством размещения соответствующей информации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 при обращении контролируемых лиц и (или) их представителей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Территориальные органы </w:t>
                  </w:r>
                  <w:proofErr w:type="spell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</w:p>
              </w:tc>
            </w:tr>
            <w:tr w:rsidR="003928A2" w:rsidRPr="003928A2" w:rsidTr="003928A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1.8. Разъяснение юридическим лицам, индивидуальным предпринимателям обязательных требований в рамках: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«Дней открытых дверей для предпринимателей»;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«горячих линий»;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личных приемов;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выездных приемов на подведомственных территориях;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консультаций в Общественных приемных;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 консультаций в многофункциональных центрах предоставления государственных услуг;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тематических совещаний, семинаров для юридических лиц, индивидуальных предпринимателей, в том числе на базе региональных отделений Торгово-промышленной палаты Российской Федерации, общественных объединений предпринимателей;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тематических совещаний для юридических в общественного питания, торговли и др.) на уровне органов власти с представителями подконтрольных субъектов;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обучающих мероприятий для подконтрольных субъектов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 соответствии с графиком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Территориальные органы </w:t>
                  </w:r>
                  <w:proofErr w:type="spell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Управления центрального аппарата </w:t>
                  </w:r>
                  <w:proofErr w:type="spell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(по компетенции)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28A2" w:rsidRPr="003928A2" w:rsidTr="003928A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1.9. Информирование неопределенного круга подконтрольных субъектов посредством средств массовой информации: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печатные издания, радио, телевидение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со сроками ежемесячных медиа-планов</w:t>
                  </w:r>
                </w:p>
              </w:tc>
              <w:tc>
                <w:tcPr>
                  <w:tcW w:w="3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Управления центрального аппарата </w:t>
                  </w:r>
                  <w:proofErr w:type="spell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(по компетенции)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Территориальные органы </w:t>
                  </w:r>
                  <w:proofErr w:type="spell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</w:p>
              </w:tc>
            </w:tr>
            <w:tr w:rsidR="003928A2" w:rsidRPr="003928A2" w:rsidTr="003928A2">
              <w:trPr>
                <w:trHeight w:val="10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928A2" w:rsidRPr="003928A2" w:rsidTr="003928A2">
              <w:tc>
                <w:tcPr>
                  <w:tcW w:w="6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4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Обобщение правоприменительной практики</w:t>
                  </w: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2.1. Сбор данных об организации и проведении мероприятий по контролю (надзору), о направлении предостережений о недопустимости нарушения обязательных требований, об обжаловании результатов мероприятий по контролю.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Ежеквартально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Управление организации контрольно-надзорной деятельности и оказания государственных услуг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Территориальные органы </w:t>
                  </w:r>
                  <w:proofErr w:type="spell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</w:p>
              </w:tc>
            </w:tr>
            <w:tr w:rsidR="003928A2" w:rsidRPr="003928A2" w:rsidTr="003928A2">
              <w:trPr>
                <w:trHeight w:val="111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2.2. Выявление проблемных вопросов организации и осуществления федерального государственного санитарно-эпидемиологического контроля (надзора)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Управления центрального аппарата </w:t>
                  </w:r>
                  <w:proofErr w:type="spell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(по компетенции)</w:t>
                  </w:r>
                </w:p>
              </w:tc>
            </w:tr>
            <w:tr w:rsidR="003928A2" w:rsidRPr="003928A2" w:rsidTr="003928A2">
              <w:trPr>
                <w:trHeight w:val="120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2.3. Выявление типичных нарушений обязательных требований, причин, факторов и условий, способствующих возникновению нарушений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Территориальные органы </w:t>
                  </w:r>
                  <w:proofErr w:type="spell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Управления центрального аппарата </w:t>
                  </w:r>
                  <w:proofErr w:type="spell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(по компетенции)</w:t>
                  </w:r>
                </w:p>
              </w:tc>
            </w:tr>
            <w:tr w:rsidR="003928A2" w:rsidRPr="003928A2" w:rsidTr="003928A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2.4. Подготовка доклада о правоприменительной практике по результатам федерального государственного санитарно-эпидемиологического контроля (надзора)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1 апреля 2022г.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Управления центрального аппарата </w:t>
                  </w:r>
                  <w:proofErr w:type="spell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(по компетенции)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Территориальные органы </w:t>
                  </w:r>
                  <w:proofErr w:type="spell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</w:p>
              </w:tc>
            </w:tr>
            <w:tr w:rsidR="003928A2" w:rsidRPr="003928A2" w:rsidTr="003928A2"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Объявление предостережения</w:t>
                  </w: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наличии сведений о готовящихся нарушениях или о признаках нарушений обязательных требований объявление контролируемому лицу предостережения о недопустимости нарушения обязательных требований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случае наличия у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</w:t>
                  </w: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охраняемым законом ценностям либо создало угрозу причинения вреда (ущерба) охраняемым законом ценностям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Территориальные органы </w:t>
                  </w:r>
                  <w:proofErr w:type="spell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Управления центрального аппарата </w:t>
                  </w:r>
                  <w:proofErr w:type="spell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(по компетенции)</w:t>
                  </w:r>
                </w:p>
              </w:tc>
            </w:tr>
            <w:tr w:rsidR="003928A2" w:rsidRPr="003928A2" w:rsidTr="003928A2"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Консультирование</w:t>
                  </w: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Консультирование осуществляется инспекторами, должностными лицами государственных учреждений, подведомственных </w:t>
                  </w:r>
                  <w:proofErr w:type="spell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Роспотребнадзору</w:t>
                  </w:r>
                  <w:proofErr w:type="spellEnd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 по следующим вопросам: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а) наличие и (или) содержание обязательных требований в сфере санитарно-эпидемиологического благополучия населения;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б) периодичность и порядок проведения контрольных (надзорных) мероприятий;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в) порядок выполнения обязательных требований в сфере санитарно-эпидемиологического благополучия населения;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г) порядок обжалования решений и (или) действий (бездействия) должностных лиц.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обращениям контролируемых лиц и их представителей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Территориальные органы </w:t>
                  </w:r>
                  <w:proofErr w:type="spell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Подведомственные учреждения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Управления центрального аппарата </w:t>
                  </w:r>
                  <w:proofErr w:type="spell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(по компетенции)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28A2" w:rsidRPr="003928A2" w:rsidTr="003928A2"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Обязательные профилактические визиты</w:t>
                  </w: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Обязательные профилактические визиты проводятся в отношении: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 контролируемых лиц, деятельность которых отнесена к категориям чрезвычайно высокого, высокого и значительного риска;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контролируемых лиц, осуществляющих производство и реализацию продукции (товаров), отнесенных к чрезвычайно высокому и высокому риску;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контролируемых лиц, со дня начала фактического осуществления деятельности которых прошло менее одного года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В течение года в соответствии с утвержденными территориальными </w:t>
                  </w: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органами </w:t>
                  </w:r>
                  <w:proofErr w:type="spell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планами проведения обязательных профилактических визитов на 2022 г.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Территориальные органы </w:t>
                  </w:r>
                  <w:proofErr w:type="spell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Подведомственные </w:t>
                  </w:r>
                  <w:proofErr w:type="gramStart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учреждения(</w:t>
                  </w:r>
                  <w:proofErr w:type="gramEnd"/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исключением профилактического визита на объекты контроля, отнесенные к категориям чрезвычайно высокого и высокого риска)</w:t>
                  </w:r>
                </w:p>
                <w:p w:rsidR="003928A2" w:rsidRPr="003928A2" w:rsidRDefault="003928A2" w:rsidP="003928A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28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928A2" w:rsidRPr="003928A2" w:rsidRDefault="003928A2" w:rsidP="003928A2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3928A2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lastRenderedPageBreak/>
              <w:t> </w:t>
            </w:r>
          </w:p>
          <w:p w:rsidR="003928A2" w:rsidRPr="003928A2" w:rsidRDefault="003928A2" w:rsidP="003928A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3928A2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3928A2" w:rsidRPr="003928A2" w:rsidRDefault="003928A2" w:rsidP="003928A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3928A2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</w:tc>
      </w:tr>
    </w:tbl>
    <w:p w:rsidR="000E7C98" w:rsidRDefault="006B65E8"/>
    <w:sectPr w:rsidR="000E7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52932"/>
    <w:multiLevelType w:val="multilevel"/>
    <w:tmpl w:val="3E16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F53D1"/>
    <w:multiLevelType w:val="multilevel"/>
    <w:tmpl w:val="71AAF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64971"/>
    <w:multiLevelType w:val="multilevel"/>
    <w:tmpl w:val="70C6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F67CA0"/>
    <w:multiLevelType w:val="multilevel"/>
    <w:tmpl w:val="CDF4A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9A08C0"/>
    <w:multiLevelType w:val="multilevel"/>
    <w:tmpl w:val="B5B09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090396"/>
    <w:multiLevelType w:val="multilevel"/>
    <w:tmpl w:val="738C5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A55CFC"/>
    <w:multiLevelType w:val="multilevel"/>
    <w:tmpl w:val="0FA8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66924"/>
    <w:multiLevelType w:val="multilevel"/>
    <w:tmpl w:val="A208A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D1296D"/>
    <w:multiLevelType w:val="multilevel"/>
    <w:tmpl w:val="E1F06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D8B"/>
    <w:rsid w:val="003928A2"/>
    <w:rsid w:val="005414D6"/>
    <w:rsid w:val="006B65E8"/>
    <w:rsid w:val="00C868AC"/>
    <w:rsid w:val="00F9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BCAF"/>
  <w15:chartTrackingRefBased/>
  <w15:docId w15:val="{E7CF1C9C-EADB-412E-8459-56DE8C57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26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6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3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6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76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60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95528">
                                                  <w:marLeft w:val="375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7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51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3036</Words>
  <Characters>17310</Characters>
  <Application>Microsoft Office Word</Application>
  <DocSecurity>0</DocSecurity>
  <Lines>144</Lines>
  <Paragraphs>40</Paragraphs>
  <ScaleCrop>false</ScaleCrop>
  <Company/>
  <LinksUpToDate>false</LinksUpToDate>
  <CharactersWithSpaces>20306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</cp:revision>
  <dcterms:created xsi:type="dcterms:W3CDTF">2022-04-12T13:00:00Z</dcterms:created>
  <dcterms:modified xsi:type="dcterms:W3CDTF">2022-04-13T07:39:00Z</dcterms:modified>
</cp:coreProperties>
</file>